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7DD01" w14:textId="311B6220" w:rsidR="00DA7A09" w:rsidRPr="00DA7A09" w:rsidRDefault="00DA7A09" w:rsidP="00DA7A09">
      <w:pPr>
        <w:widowControl/>
        <w:spacing w:line="240" w:lineRule="auto"/>
        <w:rPr>
          <w:rFonts w:ascii="黑体" w:eastAsia="黑体" w:hAnsi="黑体" w:cs="仿宋"/>
          <w:b/>
          <w:bCs/>
          <w:kern w:val="0"/>
          <w:sz w:val="32"/>
          <w:szCs w:val="32"/>
          <w:lang w:bidi="ar"/>
        </w:rPr>
      </w:pPr>
      <w:r w:rsidRPr="00DA7A09">
        <w:rPr>
          <w:rFonts w:ascii="黑体" w:eastAsia="黑体" w:hAnsi="黑体" w:cs="仿宋" w:hint="eastAsia"/>
          <w:b/>
          <w:bCs/>
          <w:kern w:val="0"/>
          <w:sz w:val="32"/>
          <w:szCs w:val="32"/>
          <w:lang w:bidi="ar"/>
        </w:rPr>
        <w:t>附件：</w:t>
      </w:r>
    </w:p>
    <w:p w14:paraId="4ADA80CD" w14:textId="0DF32B11" w:rsidR="00EF744E" w:rsidRPr="00DA7A09" w:rsidRDefault="00EF744E" w:rsidP="00DA7A09">
      <w:pPr>
        <w:widowControl/>
        <w:spacing w:beforeLines="50" w:before="156" w:after="240" w:line="240" w:lineRule="auto"/>
        <w:jc w:val="center"/>
        <w:rPr>
          <w:rFonts w:ascii="华文中宋" w:eastAsia="华文中宋" w:hAnsi="华文中宋" w:cs="仿宋"/>
          <w:b/>
          <w:bCs/>
          <w:kern w:val="0"/>
          <w:sz w:val="32"/>
          <w:szCs w:val="32"/>
          <w:lang w:bidi="ar"/>
        </w:rPr>
      </w:pPr>
      <w:r w:rsidRPr="00DA7A09">
        <w:rPr>
          <w:rFonts w:ascii="华文中宋" w:eastAsia="华文中宋" w:hAnsi="华文中宋" w:cs="仿宋" w:hint="eastAsia"/>
          <w:b/>
          <w:bCs/>
          <w:kern w:val="0"/>
          <w:sz w:val="32"/>
          <w:szCs w:val="32"/>
          <w:lang w:bidi="ar"/>
        </w:rPr>
        <w:t>医用液体/膏状敷料质量和安全风险评估体系研究</w:t>
      </w:r>
    </w:p>
    <w:p w14:paraId="368DCF03" w14:textId="6DDF6CC0" w:rsidR="00EF744E" w:rsidRPr="00DA7A09" w:rsidRDefault="00DA7A09" w:rsidP="00DA7A09">
      <w:pPr>
        <w:widowControl/>
        <w:spacing w:beforeLines="100" w:before="312" w:line="240" w:lineRule="auto"/>
        <w:rPr>
          <w:rFonts w:ascii="黑体" w:eastAsia="黑体" w:hAnsi="黑体" w:cs="仿宋"/>
          <w:b/>
          <w:bCs/>
          <w:kern w:val="0"/>
          <w:sz w:val="32"/>
          <w:lang w:bidi="ar"/>
        </w:rPr>
      </w:pPr>
      <w:r w:rsidRPr="00DA7A09">
        <w:rPr>
          <w:rFonts w:ascii="黑体" w:eastAsia="黑体" w:hAnsi="黑体" w:cs="仿宋" w:hint="eastAsia"/>
          <w:b/>
          <w:bCs/>
          <w:kern w:val="0"/>
          <w:sz w:val="32"/>
          <w:lang w:bidi="ar"/>
        </w:rPr>
        <w:t>一、</w:t>
      </w:r>
      <w:r w:rsidR="00EF744E" w:rsidRPr="00DA7A09">
        <w:rPr>
          <w:rFonts w:ascii="黑体" w:eastAsia="黑体" w:hAnsi="黑体" w:cs="仿宋" w:hint="eastAsia"/>
          <w:b/>
          <w:bCs/>
          <w:kern w:val="0"/>
          <w:sz w:val="32"/>
          <w:lang w:bidi="ar"/>
        </w:rPr>
        <w:t>拟解决的重大需求</w:t>
      </w:r>
    </w:p>
    <w:p w14:paraId="748EBF54" w14:textId="13AD0697" w:rsidR="000B7DC0" w:rsidRPr="00DA7A09" w:rsidRDefault="00DA7A09" w:rsidP="00EF744E">
      <w:pPr>
        <w:widowControl/>
        <w:spacing w:line="240" w:lineRule="auto"/>
        <w:rPr>
          <w:rFonts w:ascii="仿宋_GB2312" w:eastAsia="仿宋_GB2312" w:hAnsi="宋体" w:cs="仿宋" w:hint="eastAsia"/>
          <w:b/>
          <w:bCs/>
          <w:kern w:val="0"/>
          <w:sz w:val="28"/>
          <w:lang w:bidi="ar"/>
        </w:rPr>
      </w:pPr>
      <w:r w:rsidRPr="00DA7A09">
        <w:rPr>
          <w:rFonts w:ascii="仿宋_GB2312" w:eastAsia="仿宋_GB2312" w:hAnsi="宋体" w:cs="仿宋" w:hint="eastAsia"/>
          <w:b/>
          <w:bCs/>
          <w:kern w:val="0"/>
          <w:sz w:val="28"/>
          <w:lang w:bidi="ar"/>
        </w:rPr>
        <w:t>1.</w:t>
      </w:r>
      <w:r w:rsidR="00EF744E" w:rsidRPr="00DA7A09">
        <w:rPr>
          <w:rFonts w:ascii="仿宋_GB2312" w:eastAsia="仿宋_GB2312" w:hAnsi="宋体" w:cs="仿宋" w:hint="eastAsia"/>
          <w:b/>
          <w:bCs/>
          <w:kern w:val="0"/>
          <w:sz w:val="28"/>
          <w:lang w:bidi="ar"/>
        </w:rPr>
        <w:t>鼓励技术创新，新产品上市及医疗器械产业发展的需求</w:t>
      </w:r>
    </w:p>
    <w:p w14:paraId="794B6E2B" w14:textId="123774F6" w:rsidR="00EF744E" w:rsidRPr="00DA7A09" w:rsidRDefault="00EF744E" w:rsidP="00DA7A09">
      <w:pPr>
        <w:widowControl/>
        <w:spacing w:line="480" w:lineRule="exact"/>
        <w:ind w:firstLineChars="118" w:firstLine="330"/>
        <w:jc w:val="both"/>
        <w:rPr>
          <w:rFonts w:ascii="仿宋_GB2312" w:eastAsia="仿宋_GB2312" w:hAnsi="宋体" w:cs="仿宋" w:hint="eastAsia"/>
          <w:kern w:val="0"/>
          <w:sz w:val="28"/>
          <w:lang w:bidi="ar"/>
        </w:rPr>
      </w:pPr>
      <w:r w:rsidRPr="00DA7A09">
        <w:rPr>
          <w:rFonts w:ascii="仿宋_GB2312" w:eastAsia="仿宋_GB2312" w:hAnsi="宋体" w:cs="仿宋" w:hint="eastAsia"/>
          <w:kern w:val="0"/>
          <w:sz w:val="28"/>
          <w:lang w:bidi="ar"/>
        </w:rPr>
        <w:t>当前，医用液体/膏状敷料市场正处于高速成长期，一方面得益于人口老龄化加速以及消费者对高效护理产品的需求提升，另一方面，</w:t>
      </w:r>
      <w:proofErr w:type="gramStart"/>
      <w:r w:rsidRPr="00DA7A09">
        <w:rPr>
          <w:rFonts w:ascii="仿宋_GB2312" w:eastAsia="仿宋_GB2312" w:hAnsi="宋体" w:cs="仿宋" w:hint="eastAsia"/>
          <w:kern w:val="0"/>
          <w:sz w:val="28"/>
          <w:lang w:bidi="ar"/>
        </w:rPr>
        <w:t>医</w:t>
      </w:r>
      <w:proofErr w:type="gramEnd"/>
      <w:r w:rsidRPr="00DA7A09">
        <w:rPr>
          <w:rFonts w:ascii="仿宋_GB2312" w:eastAsia="仿宋_GB2312" w:hAnsi="宋体" w:cs="仿宋" w:hint="eastAsia"/>
          <w:kern w:val="0"/>
          <w:sz w:val="28"/>
          <w:lang w:bidi="ar"/>
        </w:rPr>
        <w:t>美术后修复需求推动了医用液体/膏状敷料产品的快速发展。国家药监局《关于调整&lt;医疗器械分类目录&gt;部分内容的公告》（2022年第25号）明确，“14-10-08液体敷料、膏状敷料”中非无菌提供、通过在创面表面形成保护层，起物理屏障作用，用于小创口、擦伤、切割伤等浅表性创面及周围皮肤的护理的液体敷料、膏状敷料类产品，由I</w:t>
      </w:r>
      <w:proofErr w:type="gramStart"/>
      <w:r w:rsidRPr="00DA7A09">
        <w:rPr>
          <w:rFonts w:ascii="仿宋_GB2312" w:eastAsia="仿宋_GB2312" w:hAnsi="宋体" w:cs="仿宋" w:hint="eastAsia"/>
          <w:kern w:val="0"/>
          <w:sz w:val="28"/>
          <w:lang w:bidi="ar"/>
        </w:rPr>
        <w:t>类调整</w:t>
      </w:r>
      <w:proofErr w:type="gramEnd"/>
      <w:r w:rsidRPr="00DA7A09">
        <w:rPr>
          <w:rFonts w:ascii="仿宋_GB2312" w:eastAsia="仿宋_GB2312" w:hAnsi="宋体" w:cs="仿宋" w:hint="eastAsia"/>
          <w:kern w:val="0"/>
          <w:sz w:val="28"/>
          <w:lang w:bidi="ar"/>
        </w:rPr>
        <w:t>为Ⅱ类管理。原按一类备案的产品若要继续销售，需取得医疗器械注册证。</w:t>
      </w:r>
    </w:p>
    <w:p w14:paraId="290DEB50" w14:textId="3E4CEC0D" w:rsidR="000B7DC0" w:rsidRPr="00DA7A09" w:rsidRDefault="00DA7A09" w:rsidP="00EF744E">
      <w:pPr>
        <w:widowControl/>
        <w:spacing w:line="240" w:lineRule="auto"/>
        <w:rPr>
          <w:rFonts w:ascii="仿宋_GB2312" w:eastAsia="仿宋_GB2312" w:hAnsi="宋体" w:cs="仿宋"/>
          <w:b/>
          <w:bCs/>
          <w:kern w:val="0"/>
          <w:sz w:val="28"/>
          <w:lang w:bidi="ar"/>
        </w:rPr>
      </w:pPr>
      <w:r>
        <w:rPr>
          <w:rFonts w:ascii="仿宋_GB2312" w:eastAsia="仿宋_GB2312" w:hAnsi="宋体" w:cs="仿宋"/>
          <w:b/>
          <w:bCs/>
          <w:kern w:val="0"/>
          <w:sz w:val="28"/>
          <w:lang w:bidi="ar"/>
        </w:rPr>
        <w:t>2.</w:t>
      </w:r>
      <w:r w:rsidR="00EF744E" w:rsidRPr="00DA7A09">
        <w:rPr>
          <w:rFonts w:ascii="仿宋_GB2312" w:eastAsia="仿宋_GB2312" w:hAnsi="宋体" w:cs="仿宋" w:hint="eastAsia"/>
          <w:b/>
          <w:bCs/>
          <w:kern w:val="0"/>
          <w:sz w:val="28"/>
          <w:lang w:bidi="ar"/>
        </w:rPr>
        <w:t>建立审评质量风险评估体系，科学评估产品需求</w:t>
      </w:r>
    </w:p>
    <w:p w14:paraId="5DCE5DC8" w14:textId="234F0209" w:rsidR="00EF744E" w:rsidRPr="00DA7A09" w:rsidRDefault="00EF744E" w:rsidP="00DA7A09">
      <w:pPr>
        <w:widowControl/>
        <w:spacing w:line="480" w:lineRule="exact"/>
        <w:ind w:firstLineChars="118" w:firstLine="330"/>
        <w:jc w:val="both"/>
        <w:rPr>
          <w:rFonts w:ascii="仿宋_GB2312" w:eastAsia="仿宋_GB2312" w:hAnsi="宋体" w:cs="仿宋"/>
          <w:kern w:val="0"/>
          <w:sz w:val="28"/>
          <w:lang w:bidi="ar"/>
        </w:rPr>
      </w:pPr>
      <w:r w:rsidRPr="00DA7A09">
        <w:rPr>
          <w:rFonts w:ascii="仿宋_GB2312" w:eastAsia="仿宋_GB2312" w:hAnsi="宋体" w:cs="仿宋" w:hint="eastAsia"/>
          <w:kern w:val="0"/>
          <w:sz w:val="28"/>
          <w:lang w:bidi="ar"/>
        </w:rPr>
        <w:t>医用液体/膏状敷料产品要求所含成分不具有药理学作用。所含成分不可被人体吸收，目前国家局发布了《液体敷料产品注册审查指导原则》,但指导原则未明确所含成分不发挥药理学作用及不可被人体吸收的研究方法。从我省近几年申报医用液体/膏状敷料情况来看，多数产品不在临床豁免目录内。因此，</w:t>
      </w:r>
      <w:r w:rsidR="000B7DC0" w:rsidRPr="00DA7A09">
        <w:rPr>
          <w:rFonts w:ascii="仿宋_GB2312" w:eastAsia="仿宋_GB2312" w:hAnsi="宋体" w:cs="仿宋" w:hint="eastAsia"/>
          <w:kern w:val="0"/>
          <w:sz w:val="28"/>
          <w:lang w:bidi="ar"/>
        </w:rPr>
        <w:t>申报单位</w:t>
      </w:r>
      <w:r w:rsidRPr="00DA7A09">
        <w:rPr>
          <w:rFonts w:ascii="仿宋_GB2312" w:eastAsia="仿宋_GB2312" w:hAnsi="宋体" w:cs="仿宋" w:hint="eastAsia"/>
          <w:kern w:val="0"/>
          <w:sz w:val="28"/>
          <w:lang w:bidi="ar"/>
        </w:rPr>
        <w:t>在所含成分不具有药理学作用及所含成分不可被人体吸收的研究资料及临床评价资料上有较多困惑，花费较多时间，影响到产品注册进度。根据药品监管科学研究的要求，为解决我省医用液体/膏状敷料注册人在产品注册申报中存在的突出问题，亟需开展医用液体/膏状敷料质量和安全风险评估体系的研究，满足科学评估需求。</w:t>
      </w:r>
    </w:p>
    <w:p w14:paraId="50F0ACBA" w14:textId="017CD279" w:rsidR="00EF744E" w:rsidRPr="00BE677B" w:rsidRDefault="00D234B9" w:rsidP="00D234B9">
      <w:pPr>
        <w:widowControl/>
        <w:spacing w:beforeLines="100" w:before="312" w:line="240" w:lineRule="auto"/>
        <w:rPr>
          <w:rFonts w:ascii="宋体" w:eastAsia="宋体" w:hAnsi="宋体" w:cs="仿宋"/>
          <w:b/>
          <w:bCs/>
          <w:kern w:val="0"/>
          <w:sz w:val="24"/>
          <w:lang w:bidi="ar"/>
        </w:rPr>
      </w:pPr>
      <w:r>
        <w:rPr>
          <w:rFonts w:ascii="黑体" w:eastAsia="黑体" w:hAnsi="黑体" w:cs="仿宋" w:hint="eastAsia"/>
          <w:b/>
          <w:bCs/>
          <w:kern w:val="0"/>
          <w:sz w:val="32"/>
          <w:lang w:bidi="ar"/>
        </w:rPr>
        <w:t>二</w:t>
      </w:r>
      <w:r w:rsidR="00EF744E" w:rsidRPr="00D234B9">
        <w:rPr>
          <w:rFonts w:ascii="黑体" w:eastAsia="黑体" w:hAnsi="黑体" w:cs="仿宋" w:hint="eastAsia"/>
          <w:b/>
          <w:bCs/>
          <w:kern w:val="0"/>
          <w:sz w:val="32"/>
          <w:lang w:bidi="ar"/>
        </w:rPr>
        <w:t>、关键问题</w:t>
      </w:r>
    </w:p>
    <w:p w14:paraId="3C1F4B10" w14:textId="748F3B5D" w:rsidR="00EF744E" w:rsidRPr="00DA7A09" w:rsidRDefault="00D234B9" w:rsidP="00EF744E">
      <w:pPr>
        <w:widowControl/>
        <w:spacing w:line="240" w:lineRule="auto"/>
        <w:rPr>
          <w:rFonts w:ascii="仿宋_GB2312" w:eastAsia="仿宋_GB2312" w:hAnsi="宋体" w:cs="仿宋"/>
          <w:b/>
          <w:bCs/>
          <w:kern w:val="0"/>
          <w:sz w:val="28"/>
          <w:lang w:bidi="ar"/>
        </w:rPr>
      </w:pPr>
      <w:r>
        <w:rPr>
          <w:rFonts w:ascii="仿宋_GB2312" w:eastAsia="仿宋_GB2312" w:hAnsi="宋体" w:cs="仿宋"/>
          <w:b/>
          <w:bCs/>
          <w:kern w:val="0"/>
          <w:sz w:val="28"/>
          <w:lang w:bidi="ar"/>
        </w:rPr>
        <w:lastRenderedPageBreak/>
        <w:t>1.</w:t>
      </w:r>
      <w:r w:rsidR="00EF744E" w:rsidRPr="00DA7A09">
        <w:rPr>
          <w:rFonts w:ascii="仿宋_GB2312" w:eastAsia="仿宋_GB2312" w:hAnsi="宋体" w:cs="仿宋" w:hint="eastAsia"/>
          <w:b/>
          <w:bCs/>
          <w:kern w:val="0"/>
          <w:sz w:val="28"/>
          <w:lang w:bidi="ar"/>
        </w:rPr>
        <w:t>建立医用液体/膏状敷料所含成分是否发挥药理学作用的评价方法</w:t>
      </w:r>
    </w:p>
    <w:p w14:paraId="178F8972" w14:textId="53C9DB66" w:rsidR="00EF744E" w:rsidRPr="00D234B9" w:rsidRDefault="00EF744E" w:rsidP="00D234B9">
      <w:pPr>
        <w:widowControl/>
        <w:spacing w:line="480" w:lineRule="exact"/>
        <w:ind w:firstLineChars="118" w:firstLine="330"/>
        <w:jc w:val="both"/>
        <w:rPr>
          <w:rFonts w:ascii="仿宋_GB2312" w:eastAsia="仿宋_GB2312" w:hAnsi="宋体" w:cs="仿宋"/>
          <w:kern w:val="0"/>
          <w:sz w:val="28"/>
          <w:lang w:bidi="ar"/>
        </w:rPr>
      </w:pPr>
      <w:r w:rsidRPr="00D234B9">
        <w:rPr>
          <w:rFonts w:ascii="仿宋_GB2312" w:eastAsia="仿宋_GB2312" w:hAnsi="宋体" w:cs="仿宋" w:hint="eastAsia"/>
          <w:kern w:val="0"/>
          <w:sz w:val="28"/>
          <w:lang w:bidi="ar"/>
        </w:rPr>
        <w:t>从近几年产品注册情况来看，</w:t>
      </w:r>
      <w:r w:rsidR="000B7DC0" w:rsidRPr="00D234B9">
        <w:rPr>
          <w:rFonts w:ascii="仿宋_GB2312" w:eastAsia="仿宋_GB2312" w:hAnsi="宋体" w:cs="仿宋" w:hint="eastAsia"/>
          <w:kern w:val="0"/>
          <w:sz w:val="28"/>
          <w:lang w:bidi="ar"/>
        </w:rPr>
        <w:t>申报单位</w:t>
      </w:r>
      <w:r w:rsidRPr="00D234B9">
        <w:rPr>
          <w:rFonts w:ascii="仿宋_GB2312" w:eastAsia="仿宋_GB2312" w:hAnsi="宋体" w:cs="仿宋" w:hint="eastAsia"/>
          <w:kern w:val="0"/>
          <w:sz w:val="28"/>
          <w:lang w:bidi="ar"/>
        </w:rPr>
        <w:t>对产品所含成分是否发挥药理学作用的评估方式难以把握，提供的证明性资料（如文献和数据库资料、实验室检测数据）充分性程度不一。本项目拟根据医用液体/膏状敷料实际接触部位、预期用途进行分析，尝试建立医用液体/膏状敷料所含成分是否发挥药理学作用的评价方法。</w:t>
      </w:r>
    </w:p>
    <w:p w14:paraId="78988BB7" w14:textId="35B66C8E" w:rsidR="00EF744E" w:rsidRPr="00DA7A09" w:rsidRDefault="00D234B9" w:rsidP="00EF744E">
      <w:pPr>
        <w:widowControl/>
        <w:spacing w:line="240" w:lineRule="auto"/>
        <w:rPr>
          <w:rFonts w:ascii="仿宋_GB2312" w:eastAsia="仿宋_GB2312" w:hAnsi="宋体" w:cs="仿宋"/>
          <w:b/>
          <w:bCs/>
          <w:kern w:val="0"/>
          <w:sz w:val="28"/>
          <w:lang w:bidi="ar"/>
        </w:rPr>
      </w:pPr>
      <w:r>
        <w:rPr>
          <w:rFonts w:ascii="仿宋_GB2312" w:eastAsia="仿宋_GB2312" w:hAnsi="宋体" w:cs="仿宋"/>
          <w:b/>
          <w:bCs/>
          <w:kern w:val="0"/>
          <w:sz w:val="28"/>
          <w:lang w:bidi="ar"/>
        </w:rPr>
        <w:t>2.</w:t>
      </w:r>
      <w:r w:rsidR="00EF744E" w:rsidRPr="00DA7A09">
        <w:rPr>
          <w:rFonts w:ascii="仿宋_GB2312" w:eastAsia="仿宋_GB2312" w:hAnsi="宋体" w:cs="仿宋" w:hint="eastAsia"/>
          <w:b/>
          <w:bCs/>
          <w:kern w:val="0"/>
          <w:sz w:val="28"/>
          <w:lang w:bidi="ar"/>
        </w:rPr>
        <w:t>建立医用液体/膏状敷料产品所含成分是否可被人体吸收的评价方法</w:t>
      </w:r>
    </w:p>
    <w:p w14:paraId="0F34D941" w14:textId="77777777" w:rsidR="00EF744E" w:rsidRPr="00D234B9" w:rsidRDefault="00EF744E" w:rsidP="00D234B9">
      <w:pPr>
        <w:widowControl/>
        <w:spacing w:line="480" w:lineRule="exact"/>
        <w:ind w:firstLineChars="118" w:firstLine="330"/>
        <w:jc w:val="both"/>
        <w:rPr>
          <w:rFonts w:ascii="仿宋_GB2312" w:eastAsia="仿宋_GB2312" w:hAnsi="宋体" w:cs="仿宋"/>
          <w:kern w:val="0"/>
          <w:sz w:val="28"/>
          <w:lang w:bidi="ar"/>
        </w:rPr>
      </w:pPr>
      <w:r w:rsidRPr="00D234B9">
        <w:rPr>
          <w:rFonts w:ascii="仿宋_GB2312" w:eastAsia="仿宋_GB2312" w:hAnsi="宋体" w:cs="仿宋" w:hint="eastAsia"/>
          <w:kern w:val="0"/>
          <w:sz w:val="28"/>
          <w:lang w:bidi="ar"/>
        </w:rPr>
        <w:t>医用液体/膏状敷料中成分是否可被人体吸收的研究，目前主要参考GB/T27818-2011《化学品皮肤吸收体外试验方法》，通过模拟皮肤创面，检测目标成分是否可以穿透皮肤屏障。该方法对目标成分是否能通过生理屏障进入人体，参与或影响人体代谢、循环或生物学过程的</w:t>
      </w:r>
      <w:proofErr w:type="gramStart"/>
      <w:r w:rsidRPr="00D234B9">
        <w:rPr>
          <w:rFonts w:ascii="仿宋_GB2312" w:eastAsia="仿宋_GB2312" w:hAnsi="宋体" w:cs="仿宋" w:hint="eastAsia"/>
          <w:kern w:val="0"/>
          <w:sz w:val="28"/>
          <w:lang w:bidi="ar"/>
        </w:rPr>
        <w:t>确证性需进一步</w:t>
      </w:r>
      <w:proofErr w:type="gramEnd"/>
      <w:r w:rsidRPr="00D234B9">
        <w:rPr>
          <w:rFonts w:ascii="仿宋_GB2312" w:eastAsia="仿宋_GB2312" w:hAnsi="宋体" w:cs="仿宋" w:hint="eastAsia"/>
          <w:kern w:val="0"/>
          <w:sz w:val="28"/>
          <w:lang w:bidi="ar"/>
        </w:rPr>
        <w:t>研究。本项目拟通过结合体外实验、体内实验、分子特性分析等多种方法进行系统性验证，建立医用液体/膏状敷料所含成分是否可被人体吸收的研究方法。</w:t>
      </w:r>
    </w:p>
    <w:p w14:paraId="797F4A22" w14:textId="7901D28A" w:rsidR="00EF744E" w:rsidRPr="00DA7A09" w:rsidRDefault="00D234B9" w:rsidP="00EF744E">
      <w:pPr>
        <w:widowControl/>
        <w:spacing w:line="240" w:lineRule="auto"/>
        <w:rPr>
          <w:rFonts w:ascii="仿宋_GB2312" w:eastAsia="仿宋_GB2312" w:hAnsi="宋体" w:cs="仿宋"/>
          <w:b/>
          <w:bCs/>
          <w:kern w:val="0"/>
          <w:sz w:val="28"/>
          <w:lang w:bidi="ar"/>
        </w:rPr>
      </w:pPr>
      <w:r>
        <w:rPr>
          <w:rFonts w:ascii="仿宋_GB2312" w:eastAsia="仿宋_GB2312" w:hAnsi="宋体" w:cs="仿宋"/>
          <w:b/>
          <w:bCs/>
          <w:kern w:val="0"/>
          <w:sz w:val="28"/>
          <w:lang w:bidi="ar"/>
        </w:rPr>
        <w:t>3.</w:t>
      </w:r>
      <w:r w:rsidR="00EF744E" w:rsidRPr="00DA7A09">
        <w:rPr>
          <w:rFonts w:ascii="仿宋_GB2312" w:eastAsia="仿宋_GB2312" w:hAnsi="宋体" w:cs="仿宋" w:hint="eastAsia"/>
          <w:b/>
          <w:bCs/>
          <w:kern w:val="0"/>
          <w:sz w:val="28"/>
          <w:lang w:bidi="ar"/>
        </w:rPr>
        <w:t>研究医用液体/膏状敷料临床评价路径</w:t>
      </w:r>
    </w:p>
    <w:p w14:paraId="234BEB0C" w14:textId="77777777" w:rsidR="00EF744E" w:rsidRPr="00D234B9" w:rsidRDefault="00EF744E" w:rsidP="00D234B9">
      <w:pPr>
        <w:widowControl/>
        <w:spacing w:line="480" w:lineRule="exact"/>
        <w:ind w:firstLineChars="118" w:firstLine="330"/>
        <w:jc w:val="both"/>
        <w:rPr>
          <w:rFonts w:ascii="仿宋_GB2312" w:eastAsia="仿宋_GB2312" w:hAnsi="宋体" w:cs="仿宋"/>
          <w:kern w:val="0"/>
          <w:sz w:val="28"/>
          <w:lang w:bidi="ar"/>
        </w:rPr>
      </w:pPr>
      <w:r w:rsidRPr="00D234B9">
        <w:rPr>
          <w:rFonts w:ascii="仿宋_GB2312" w:eastAsia="仿宋_GB2312" w:hAnsi="宋体" w:cs="仿宋" w:hint="eastAsia"/>
          <w:kern w:val="0"/>
          <w:sz w:val="28"/>
          <w:lang w:bidi="ar"/>
        </w:rPr>
        <w:t>无菌提供的液体、膏状敷料列入《免于临床评价医疗器械目录（2023年）》，但液体、膏状敷料产品驳杂，成分各异，若无法证明申报产品与《目录》中已获准境内注册产品具有等同性，需要提供相关研究资料并进行临床评价来论证申报产品的安全有效性。本项目拟根据医用液体</w:t>
      </w:r>
      <w:r w:rsidRPr="00D234B9">
        <w:rPr>
          <w:rFonts w:ascii="仿宋_GB2312" w:eastAsia="仿宋_GB2312" w:hAnsi="宋体" w:cs="仿宋"/>
          <w:kern w:val="0"/>
          <w:sz w:val="28"/>
          <w:lang w:bidi="ar"/>
        </w:rPr>
        <w:t>/</w:t>
      </w:r>
      <w:r w:rsidRPr="00D234B9">
        <w:rPr>
          <w:rFonts w:ascii="仿宋_GB2312" w:eastAsia="仿宋_GB2312" w:hAnsi="宋体" w:cs="仿宋" w:hint="eastAsia"/>
          <w:kern w:val="0"/>
          <w:sz w:val="28"/>
          <w:lang w:bidi="ar"/>
        </w:rPr>
        <w:t>膏状敷料的技术特征、适用范围、已有临床数据等具体情况，研究不在临床豁免目录内的液体</w:t>
      </w:r>
      <w:r w:rsidRPr="00D234B9">
        <w:rPr>
          <w:rFonts w:ascii="仿宋_GB2312" w:eastAsia="仿宋_GB2312" w:hAnsi="宋体" w:cs="仿宋"/>
          <w:kern w:val="0"/>
          <w:sz w:val="28"/>
          <w:lang w:bidi="ar"/>
        </w:rPr>
        <w:t>/</w:t>
      </w:r>
      <w:r w:rsidRPr="00D234B9">
        <w:rPr>
          <w:rFonts w:ascii="仿宋_GB2312" w:eastAsia="仿宋_GB2312" w:hAnsi="宋体" w:cs="仿宋" w:hint="eastAsia"/>
          <w:kern w:val="0"/>
          <w:sz w:val="28"/>
          <w:lang w:bidi="ar"/>
        </w:rPr>
        <w:t xml:space="preserve">膏状敷料，如何选择恰当的评价路径，开展临床评价问题。 </w:t>
      </w:r>
    </w:p>
    <w:p w14:paraId="3284E608" w14:textId="4FAD3A37" w:rsidR="00EF744E" w:rsidRPr="00D234B9" w:rsidRDefault="00D234B9" w:rsidP="00D234B9">
      <w:pPr>
        <w:widowControl/>
        <w:spacing w:beforeLines="100" w:before="312" w:line="240" w:lineRule="auto"/>
        <w:rPr>
          <w:rFonts w:ascii="黑体" w:eastAsia="黑体" w:hAnsi="黑体" w:cs="仿宋"/>
          <w:b/>
          <w:bCs/>
          <w:kern w:val="0"/>
          <w:sz w:val="32"/>
          <w:lang w:bidi="ar"/>
        </w:rPr>
      </w:pPr>
      <w:r>
        <w:rPr>
          <w:rFonts w:ascii="黑体" w:eastAsia="黑体" w:hAnsi="黑体" w:cs="仿宋" w:hint="eastAsia"/>
          <w:b/>
          <w:bCs/>
          <w:kern w:val="0"/>
          <w:sz w:val="32"/>
          <w:lang w:bidi="ar"/>
        </w:rPr>
        <w:t>三</w:t>
      </w:r>
      <w:bookmarkStart w:id="0" w:name="_GoBack"/>
      <w:bookmarkEnd w:id="0"/>
      <w:r w:rsidR="00EF744E" w:rsidRPr="00D234B9">
        <w:rPr>
          <w:rFonts w:ascii="黑体" w:eastAsia="黑体" w:hAnsi="黑体" w:cs="仿宋" w:hint="eastAsia"/>
          <w:b/>
          <w:bCs/>
          <w:kern w:val="0"/>
          <w:sz w:val="32"/>
          <w:lang w:bidi="ar"/>
        </w:rPr>
        <w:t>、研究目标</w:t>
      </w:r>
    </w:p>
    <w:p w14:paraId="096CE0D0" w14:textId="45453702" w:rsidR="00EF744E" w:rsidRPr="00D234B9" w:rsidRDefault="00EF744E" w:rsidP="00D234B9">
      <w:pPr>
        <w:widowControl/>
        <w:spacing w:line="480" w:lineRule="exact"/>
        <w:ind w:firstLineChars="118" w:firstLine="330"/>
        <w:jc w:val="both"/>
        <w:rPr>
          <w:rFonts w:ascii="仿宋_GB2312" w:eastAsia="仿宋_GB2312" w:hAnsi="宋体" w:cs="仿宋" w:hint="eastAsia"/>
          <w:kern w:val="0"/>
          <w:sz w:val="28"/>
          <w:lang w:bidi="ar"/>
        </w:rPr>
      </w:pPr>
      <w:r w:rsidRPr="00D234B9">
        <w:rPr>
          <w:rFonts w:ascii="仿宋_GB2312" w:eastAsia="仿宋_GB2312" w:hAnsi="宋体" w:cs="仿宋" w:hint="eastAsia"/>
          <w:kern w:val="0"/>
          <w:sz w:val="28"/>
          <w:lang w:bidi="ar"/>
        </w:rPr>
        <w:t>建立液体/膏状敷料质量和安全风险评估技术体系</w:t>
      </w:r>
      <w:r w:rsidR="000B7DC0" w:rsidRPr="00D234B9">
        <w:rPr>
          <w:rFonts w:ascii="仿宋_GB2312" w:eastAsia="仿宋_GB2312" w:hAnsi="宋体" w:cs="仿宋" w:hint="eastAsia"/>
          <w:kern w:val="0"/>
          <w:sz w:val="28"/>
          <w:lang w:bidi="ar"/>
        </w:rPr>
        <w:t>。</w:t>
      </w:r>
    </w:p>
    <w:p w14:paraId="40606DF0" w14:textId="77777777" w:rsidR="00EF744E" w:rsidRPr="00BE677B" w:rsidRDefault="00EF744E" w:rsidP="00EF744E">
      <w:pPr>
        <w:spacing w:line="240" w:lineRule="auto"/>
        <w:rPr>
          <w:rFonts w:ascii="宋体" w:eastAsia="宋体" w:hAnsi="宋体"/>
          <w:sz w:val="24"/>
        </w:rPr>
      </w:pPr>
    </w:p>
    <w:sectPr w:rsidR="00EF744E" w:rsidRPr="00BE677B" w:rsidSect="00CD269F">
      <w:footerReference w:type="default" r:id="rId7"/>
      <w:pgSz w:w="11906" w:h="16838"/>
      <w:pgMar w:top="1440" w:right="1416" w:bottom="1440" w:left="1560" w:header="851" w:footer="15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30A62" w14:textId="77777777" w:rsidR="00823FC8" w:rsidRDefault="00823FC8" w:rsidP="00CD269F">
      <w:pPr>
        <w:spacing w:after="0" w:line="240" w:lineRule="auto"/>
      </w:pPr>
      <w:r>
        <w:separator/>
      </w:r>
    </w:p>
  </w:endnote>
  <w:endnote w:type="continuationSeparator" w:id="0">
    <w:p w14:paraId="475C2ACA" w14:textId="77777777" w:rsidR="00823FC8" w:rsidRDefault="00823FC8" w:rsidP="00CD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378017"/>
      <w:docPartObj>
        <w:docPartGallery w:val="Page Numbers (Bottom of Page)"/>
        <w:docPartUnique/>
      </w:docPartObj>
    </w:sdtPr>
    <w:sdtEndPr/>
    <w:sdtContent>
      <w:p w14:paraId="6A818D0E" w14:textId="040EAD77" w:rsidR="00CD269F" w:rsidRDefault="00CD269F">
        <w:pPr>
          <w:pStyle w:val="af1"/>
          <w:jc w:val="right"/>
        </w:pPr>
        <w:r>
          <w:fldChar w:fldCharType="begin"/>
        </w:r>
        <w:r>
          <w:instrText>PAGE   \* MERGEFORMAT</w:instrText>
        </w:r>
        <w:r>
          <w:fldChar w:fldCharType="separate"/>
        </w:r>
        <w:r>
          <w:rPr>
            <w:lang w:val="zh-CN"/>
          </w:rPr>
          <w:t>2</w:t>
        </w:r>
        <w:r>
          <w:fldChar w:fldCharType="end"/>
        </w:r>
      </w:p>
    </w:sdtContent>
  </w:sdt>
  <w:p w14:paraId="743471DB" w14:textId="77777777" w:rsidR="00CD269F" w:rsidRDefault="00CD269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4AEB8" w14:textId="77777777" w:rsidR="00823FC8" w:rsidRDefault="00823FC8" w:rsidP="00CD269F">
      <w:pPr>
        <w:spacing w:after="0" w:line="240" w:lineRule="auto"/>
      </w:pPr>
      <w:r>
        <w:separator/>
      </w:r>
    </w:p>
  </w:footnote>
  <w:footnote w:type="continuationSeparator" w:id="0">
    <w:p w14:paraId="6377CF68" w14:textId="77777777" w:rsidR="00823FC8" w:rsidRDefault="00823FC8" w:rsidP="00CD2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FC01"/>
    <w:multiLevelType w:val="singleLevel"/>
    <w:tmpl w:val="05EFFC0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4E"/>
    <w:rsid w:val="000B7DC0"/>
    <w:rsid w:val="00505D8C"/>
    <w:rsid w:val="0070738C"/>
    <w:rsid w:val="00823FC8"/>
    <w:rsid w:val="00B17384"/>
    <w:rsid w:val="00BE677B"/>
    <w:rsid w:val="00CD269F"/>
    <w:rsid w:val="00D234B9"/>
    <w:rsid w:val="00D34CC9"/>
    <w:rsid w:val="00DA7A09"/>
    <w:rsid w:val="00E93FA2"/>
    <w:rsid w:val="00EF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72EEC"/>
  <w15:chartTrackingRefBased/>
  <w15:docId w15:val="{D26A17E3-FB99-431F-B42A-99D9F71E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4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4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4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4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4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4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4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4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4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4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4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4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44E"/>
    <w:rPr>
      <w:rFonts w:cstheme="majorBidi"/>
      <w:color w:val="2F5496" w:themeColor="accent1" w:themeShade="BF"/>
      <w:sz w:val="28"/>
      <w:szCs w:val="28"/>
    </w:rPr>
  </w:style>
  <w:style w:type="character" w:customStyle="1" w:styleId="50">
    <w:name w:val="标题 5 字符"/>
    <w:basedOn w:val="a0"/>
    <w:link w:val="5"/>
    <w:uiPriority w:val="9"/>
    <w:semiHidden/>
    <w:rsid w:val="00EF744E"/>
    <w:rPr>
      <w:rFonts w:cstheme="majorBidi"/>
      <w:color w:val="2F5496" w:themeColor="accent1" w:themeShade="BF"/>
      <w:sz w:val="24"/>
    </w:rPr>
  </w:style>
  <w:style w:type="character" w:customStyle="1" w:styleId="60">
    <w:name w:val="标题 6 字符"/>
    <w:basedOn w:val="a0"/>
    <w:link w:val="6"/>
    <w:uiPriority w:val="9"/>
    <w:semiHidden/>
    <w:rsid w:val="00EF744E"/>
    <w:rPr>
      <w:rFonts w:cstheme="majorBidi"/>
      <w:b/>
      <w:bCs/>
      <w:color w:val="2F5496" w:themeColor="accent1" w:themeShade="BF"/>
    </w:rPr>
  </w:style>
  <w:style w:type="character" w:customStyle="1" w:styleId="70">
    <w:name w:val="标题 7 字符"/>
    <w:basedOn w:val="a0"/>
    <w:link w:val="7"/>
    <w:uiPriority w:val="9"/>
    <w:semiHidden/>
    <w:rsid w:val="00EF744E"/>
    <w:rPr>
      <w:rFonts w:cstheme="majorBidi"/>
      <w:b/>
      <w:bCs/>
      <w:color w:val="595959" w:themeColor="text1" w:themeTint="A6"/>
    </w:rPr>
  </w:style>
  <w:style w:type="character" w:customStyle="1" w:styleId="80">
    <w:name w:val="标题 8 字符"/>
    <w:basedOn w:val="a0"/>
    <w:link w:val="8"/>
    <w:uiPriority w:val="9"/>
    <w:semiHidden/>
    <w:rsid w:val="00EF744E"/>
    <w:rPr>
      <w:rFonts w:cstheme="majorBidi"/>
      <w:color w:val="595959" w:themeColor="text1" w:themeTint="A6"/>
    </w:rPr>
  </w:style>
  <w:style w:type="character" w:customStyle="1" w:styleId="90">
    <w:name w:val="标题 9 字符"/>
    <w:basedOn w:val="a0"/>
    <w:link w:val="9"/>
    <w:uiPriority w:val="9"/>
    <w:semiHidden/>
    <w:rsid w:val="00EF744E"/>
    <w:rPr>
      <w:rFonts w:eastAsiaTheme="majorEastAsia" w:cstheme="majorBidi"/>
      <w:color w:val="595959" w:themeColor="text1" w:themeTint="A6"/>
    </w:rPr>
  </w:style>
  <w:style w:type="paragraph" w:styleId="a3">
    <w:name w:val="Title"/>
    <w:basedOn w:val="a"/>
    <w:next w:val="a"/>
    <w:link w:val="a4"/>
    <w:uiPriority w:val="10"/>
    <w:qFormat/>
    <w:rsid w:val="00EF74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4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4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4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44E"/>
    <w:pPr>
      <w:spacing w:before="160"/>
      <w:jc w:val="center"/>
    </w:pPr>
    <w:rPr>
      <w:i/>
      <w:iCs/>
      <w:color w:val="404040" w:themeColor="text1" w:themeTint="BF"/>
    </w:rPr>
  </w:style>
  <w:style w:type="character" w:customStyle="1" w:styleId="a8">
    <w:name w:val="引用 字符"/>
    <w:basedOn w:val="a0"/>
    <w:link w:val="a7"/>
    <w:uiPriority w:val="29"/>
    <w:rsid w:val="00EF744E"/>
    <w:rPr>
      <w:i/>
      <w:iCs/>
      <w:color w:val="404040" w:themeColor="text1" w:themeTint="BF"/>
    </w:rPr>
  </w:style>
  <w:style w:type="paragraph" w:styleId="a9">
    <w:name w:val="List Paragraph"/>
    <w:basedOn w:val="a"/>
    <w:uiPriority w:val="34"/>
    <w:qFormat/>
    <w:rsid w:val="00EF744E"/>
    <w:pPr>
      <w:ind w:left="720"/>
      <w:contextualSpacing/>
    </w:pPr>
  </w:style>
  <w:style w:type="character" w:styleId="aa">
    <w:name w:val="Intense Emphasis"/>
    <w:basedOn w:val="a0"/>
    <w:uiPriority w:val="21"/>
    <w:qFormat/>
    <w:rsid w:val="00EF744E"/>
    <w:rPr>
      <w:i/>
      <w:iCs/>
      <w:color w:val="2F5496" w:themeColor="accent1" w:themeShade="BF"/>
    </w:rPr>
  </w:style>
  <w:style w:type="paragraph" w:styleId="ab">
    <w:name w:val="Intense Quote"/>
    <w:basedOn w:val="a"/>
    <w:next w:val="a"/>
    <w:link w:val="ac"/>
    <w:uiPriority w:val="30"/>
    <w:qFormat/>
    <w:rsid w:val="00EF7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44E"/>
    <w:rPr>
      <w:i/>
      <w:iCs/>
      <w:color w:val="2F5496" w:themeColor="accent1" w:themeShade="BF"/>
    </w:rPr>
  </w:style>
  <w:style w:type="character" w:styleId="ad">
    <w:name w:val="Intense Reference"/>
    <w:basedOn w:val="a0"/>
    <w:uiPriority w:val="32"/>
    <w:qFormat/>
    <w:rsid w:val="00EF744E"/>
    <w:rPr>
      <w:b/>
      <w:bCs/>
      <w:smallCaps/>
      <w:color w:val="2F5496" w:themeColor="accent1" w:themeShade="BF"/>
      <w:spacing w:val="5"/>
    </w:rPr>
  </w:style>
  <w:style w:type="table" w:styleId="ae">
    <w:name w:val="Table Grid"/>
    <w:basedOn w:val="a1"/>
    <w:rsid w:val="00EF744E"/>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D269F"/>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CD269F"/>
    <w:rPr>
      <w:sz w:val="18"/>
      <w:szCs w:val="18"/>
    </w:rPr>
  </w:style>
  <w:style w:type="paragraph" w:styleId="af1">
    <w:name w:val="footer"/>
    <w:basedOn w:val="a"/>
    <w:link w:val="af2"/>
    <w:uiPriority w:val="99"/>
    <w:unhideWhenUsed/>
    <w:rsid w:val="00CD269F"/>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CD26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张金</cp:lastModifiedBy>
  <cp:revision>5</cp:revision>
  <dcterms:created xsi:type="dcterms:W3CDTF">2025-03-19T06:05:00Z</dcterms:created>
  <dcterms:modified xsi:type="dcterms:W3CDTF">2025-05-12T02:46:00Z</dcterms:modified>
</cp:coreProperties>
</file>