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合肥物质院动火作业审批表</w:t>
      </w:r>
    </w:p>
    <w:p>
      <w:pPr>
        <w:spacing w:line="0" w:lineRule="atLeast"/>
        <w:ind w:firstLine="57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编号： </w:t>
      </w:r>
      <w:r>
        <w:rPr>
          <w:rFonts w:ascii="仿宋" w:hAnsi="仿宋" w:eastAsia="仿宋"/>
          <w:sz w:val="24"/>
        </w:rPr>
        <w:t xml:space="preserve">        </w:t>
      </w:r>
      <w:r>
        <w:rPr>
          <w:rFonts w:hint="eastAsia" w:ascii="仿宋" w:hAnsi="仿宋" w:eastAsia="仿宋"/>
          <w:sz w:val="24"/>
        </w:rPr>
        <w:t>所[       ]第    号</w:t>
      </w:r>
    </w:p>
    <w:tbl>
      <w:tblPr>
        <w:tblStyle w:val="4"/>
        <w:tblW w:w="5810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73"/>
        <w:gridCol w:w="4222"/>
        <w:gridCol w:w="145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申请单位/部门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（作业组织部门）</w:t>
            </w:r>
          </w:p>
        </w:tc>
        <w:tc>
          <w:tcPr>
            <w:tcW w:w="2130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</w:t>
            </w:r>
          </w:p>
        </w:tc>
        <w:tc>
          <w:tcPr>
            <w:tcW w:w="959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动火单位（部门）</w:t>
            </w:r>
          </w:p>
        </w:tc>
        <w:tc>
          <w:tcPr>
            <w:tcW w:w="2130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动火负责人</w:t>
            </w:r>
          </w:p>
        </w:tc>
        <w:tc>
          <w:tcPr>
            <w:tcW w:w="959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动火操作人</w:t>
            </w:r>
          </w:p>
        </w:tc>
        <w:tc>
          <w:tcPr>
            <w:tcW w:w="2130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现场监护人</w:t>
            </w:r>
          </w:p>
        </w:tc>
        <w:tc>
          <w:tcPr>
            <w:tcW w:w="959" w:type="pc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动火作业项目/内容</w:t>
            </w: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动火部位（范围）</w:t>
            </w: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6" w:type="pct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动火时间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（易燃易爆场所作业不超过8小时，其他不超过72小时）</w:t>
            </w: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  月    日至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6" w:type="pct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上午：      时     分至      时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6" w:type="pct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下午：      时     分至      时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灭火器材配置情况</w:t>
            </w: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现场防护措施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和有关预案</w:t>
            </w: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作业安全条件及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措施确认</w:t>
            </w: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动火负责人： </w:t>
            </w:r>
            <w:r>
              <w:rPr>
                <w:rFonts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作业组织部门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3824" w:type="pct"/>
            <w:gridSpan w:val="3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安全负责人签字（盖章）：  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7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  <w:tc>
          <w:tcPr>
            <w:tcW w:w="3824" w:type="pct"/>
            <w:gridSpan w:val="3"/>
            <w:shd w:val="clear" w:color="auto" w:fill="auto"/>
            <w:vAlign w:val="center"/>
          </w:tcPr>
          <w:p>
            <w:pPr>
              <w:spacing w:before="156" w:beforeLines="50"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after="156" w:afterLines="50"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审批人签字（盖章）：        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32" w:type="pct"/>
            <w:vAlign w:val="center"/>
          </w:tcPr>
          <w:p>
            <w:pPr>
              <w:snapToGrid w:val="0"/>
              <w:spacing w:after="62" w:afterLines="20"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注意事项</w:t>
            </w:r>
          </w:p>
        </w:tc>
        <w:tc>
          <w:tcPr>
            <w:tcW w:w="4668" w:type="pct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1、本证由动火申请单位（部门）填写，科研单元内动火由所属综合办审批，服务中心各部门由中心负责人审批，其他职能和支撑部门由安全保密处审批；审批前应由安全管理人员查看现场，确认安全；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2、本表一式两份，申请单位（部门）一份，审批部门留存一份。易燃易爆危险场所及人员密集场所动火作业还需安全保密处复审。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3、动火负责人、监护人、动火操作人要认真履行消防安全职责，严格遵守动火时间，操作人特种作业证复印件应报给审批单位。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332" w:type="pct"/>
            <w:vMerge w:val="restart"/>
            <w:vAlign w:val="center"/>
          </w:tcPr>
          <w:p>
            <w:pPr>
              <w:snapToGrid w:val="0"/>
              <w:spacing w:after="62" w:afterLines="2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动火作业规范</w:t>
            </w:r>
          </w:p>
        </w:tc>
        <w:tc>
          <w:tcPr>
            <w:tcW w:w="4668" w:type="pct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一般措施：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1、必须有相关操作证书，人证相符；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2、乙炔气瓶有回火器（在气瓶上）；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3、氧气和乙炔气瓶直立放置并安全固定，离动火作业点至少10米；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4、氧气和乙炔气瓶距离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米或以钢板隔开；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5、电器插座状态良好；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6、作业区域相关设备旁备有灭火器；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7、动火结束要清除火种，对现场进行检查，确认无火灾隐患，切断电源后方可离开。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332" w:type="pct"/>
            <w:vMerge w:val="continue"/>
            <w:vAlign w:val="center"/>
          </w:tcPr>
          <w:p>
            <w:pPr>
              <w:snapToGrid w:val="0"/>
              <w:spacing w:after="62" w:afterLines="2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68" w:type="pct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动火作业周围措施：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1、清除距动火点周围5米之内的可燃物质或用阻燃物品隔离；10米范围内、动火点上方及下方不应同时进行可燃溶剂清洗、喷漆作业或可燃性粉尘清扫作业；15米内不得排放各类可燃液体， 30米内不得排放各类可燃气体；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2、地面清扫干净，灰尘和油污已移除；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3、可燃地板打湿，或用潮湿的沙或防火毯覆盖；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4、墙上和地面开口加以覆盖和保护；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5、高处动火作业的下方有防火毯(或进行隔离)。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332" w:type="pct"/>
            <w:vMerge w:val="continue"/>
            <w:vAlign w:val="center"/>
          </w:tcPr>
          <w:p>
            <w:pPr>
              <w:snapToGrid w:val="0"/>
              <w:spacing w:after="62" w:afterLines="2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68" w:type="pct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墙上、天花板和封闭设备内措施：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1、墙壁、天花板上的材质和内部保温绝缘材质为不可燃；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2、墙壁另一面的可燃物质已移除；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3、传递到邻近区域的危险热源已控制；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4、封闭设备内的可燃物质已移除；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5、容器内的易燃和可燃液体、蒸汽已排出。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332" w:type="pct"/>
            <w:vMerge w:val="continue"/>
            <w:vAlign w:val="center"/>
          </w:tcPr>
          <w:p>
            <w:pPr>
              <w:snapToGrid w:val="0"/>
              <w:spacing w:after="62" w:afterLines="2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68" w:type="pct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监火人措施: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1、动火作业全程及完毕后30分钟内必须要有监火人；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2、动火现场必须有适当的灭火器(至少两瓶)；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3、监火人知道如何使用灭火器和消防报警；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4、必要时在相邻的区域加派监火人。</w:t>
            </w:r>
          </w:p>
        </w:tc>
      </w:tr>
    </w:tbl>
    <w:p>
      <w:pPr>
        <w:spacing w:line="0" w:lineRule="atLeast"/>
        <w:jc w:val="left"/>
        <w:rPr>
          <w:rFonts w:ascii="仿宋" w:hAnsi="仿宋" w:eastAsia="仿宋"/>
          <w:szCs w:val="21"/>
        </w:rPr>
      </w:pPr>
    </w:p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NjViMmQyNzY4MmZkZDEzZWY1ODhhODNiYWMzMmMifQ=="/>
  </w:docVars>
  <w:rsids>
    <w:rsidRoot w:val="000F71EE"/>
    <w:rsid w:val="00076F8E"/>
    <w:rsid w:val="000F71EE"/>
    <w:rsid w:val="0015655E"/>
    <w:rsid w:val="0017353E"/>
    <w:rsid w:val="00181885"/>
    <w:rsid w:val="001E5FF9"/>
    <w:rsid w:val="004B4AAE"/>
    <w:rsid w:val="0050008C"/>
    <w:rsid w:val="00536314"/>
    <w:rsid w:val="005545B6"/>
    <w:rsid w:val="005C7E1B"/>
    <w:rsid w:val="0062162F"/>
    <w:rsid w:val="00625C16"/>
    <w:rsid w:val="00675426"/>
    <w:rsid w:val="00792DE1"/>
    <w:rsid w:val="007D0CBB"/>
    <w:rsid w:val="007D20AB"/>
    <w:rsid w:val="008A562E"/>
    <w:rsid w:val="008C768B"/>
    <w:rsid w:val="00914308"/>
    <w:rsid w:val="00917720"/>
    <w:rsid w:val="00951C20"/>
    <w:rsid w:val="009A6E42"/>
    <w:rsid w:val="00A45BD0"/>
    <w:rsid w:val="00AD41F4"/>
    <w:rsid w:val="00B55CAC"/>
    <w:rsid w:val="00B872DE"/>
    <w:rsid w:val="00BB0C7E"/>
    <w:rsid w:val="00BB7056"/>
    <w:rsid w:val="00C25253"/>
    <w:rsid w:val="00D77277"/>
    <w:rsid w:val="00DD72C0"/>
    <w:rsid w:val="00E06911"/>
    <w:rsid w:val="00E15835"/>
    <w:rsid w:val="63593E0D"/>
    <w:rsid w:val="766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1102</Characters>
  <Lines>9</Lines>
  <Paragraphs>2</Paragraphs>
  <TotalTime>160</TotalTime>
  <ScaleCrop>false</ScaleCrop>
  <LinksUpToDate>false</LinksUpToDate>
  <CharactersWithSpaces>1293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2023-11-07T03:00:00Z</dcterms:created>
  <dc:creator>7467</dc:creator>
  <cp:lastModifiedBy>蓝色蚂蚁</cp:lastModifiedBy>
  <dcterms:modified xsi:type="dcterms:W3CDTF">2024-04-24T06:16:30Z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EC90EE31EA9C431688FACF53A7F9F189_12</vt:lpwstr>
  </property>
</Properties>
</file>